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BCB" w:rsidRPr="00564B1A" w:rsidRDefault="00E65BCB" w:rsidP="00A103D8">
      <w:pPr>
        <w:widowControl/>
        <w:autoSpaceDE/>
        <w:autoSpaceDN/>
        <w:spacing w:line="360" w:lineRule="auto"/>
        <w:jc w:val="both"/>
        <w:rPr>
          <w:rFonts w:ascii="Tahoma" w:eastAsia="Times New Roman" w:hAnsi="Tahoma" w:cs="Tahoma"/>
          <w:sz w:val="20"/>
          <w:szCs w:val="20"/>
          <w:lang w:bidi="ar-SA"/>
        </w:rPr>
      </w:pPr>
      <w:r w:rsidRPr="00564B1A">
        <w:rPr>
          <w:rFonts w:ascii="Tahoma" w:eastAsia="Times New Roman" w:hAnsi="Tahoma" w:cs="Tahoma"/>
          <w:sz w:val="20"/>
          <w:szCs w:val="20"/>
          <w:lang w:bidi="ar-SA"/>
        </w:rPr>
        <w:t xml:space="preserve">Informacja prasowa, </w:t>
      </w:r>
      <w:r w:rsidR="00DD444F" w:rsidRPr="00564B1A">
        <w:rPr>
          <w:rFonts w:ascii="Tahoma" w:eastAsia="Times New Roman" w:hAnsi="Tahoma" w:cs="Tahoma"/>
          <w:sz w:val="20"/>
          <w:szCs w:val="20"/>
          <w:lang w:bidi="ar-SA"/>
        </w:rPr>
        <w:t>lipiec</w:t>
      </w:r>
      <w:r w:rsidR="006876DB" w:rsidRPr="00564B1A">
        <w:rPr>
          <w:rFonts w:ascii="Tahoma" w:eastAsia="Times New Roman" w:hAnsi="Tahoma" w:cs="Tahoma"/>
          <w:sz w:val="20"/>
          <w:szCs w:val="20"/>
          <w:lang w:bidi="ar-SA"/>
        </w:rPr>
        <w:t xml:space="preserve"> 2020</w:t>
      </w:r>
    </w:p>
    <w:p w:rsidR="00FA73F1" w:rsidRDefault="00FA73F1" w:rsidP="00FA73F1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</w:p>
    <w:p w:rsidR="00FA73F1" w:rsidRPr="003822E3" w:rsidRDefault="00FA73F1" w:rsidP="00FA73F1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3822E3">
        <w:rPr>
          <w:rFonts w:ascii="Tahoma" w:hAnsi="Tahoma" w:cs="Tahoma"/>
          <w:b/>
          <w:sz w:val="24"/>
          <w:szCs w:val="24"/>
        </w:rPr>
        <w:t>Etykiet</w:t>
      </w:r>
      <w:r w:rsidR="009815B5" w:rsidRPr="003822E3">
        <w:rPr>
          <w:rFonts w:ascii="Tahoma" w:hAnsi="Tahoma" w:cs="Tahoma"/>
          <w:b/>
          <w:sz w:val="24"/>
          <w:szCs w:val="24"/>
        </w:rPr>
        <w:t>a</w:t>
      </w:r>
      <w:r w:rsidRPr="003822E3">
        <w:rPr>
          <w:rFonts w:ascii="Tahoma" w:hAnsi="Tahoma" w:cs="Tahoma"/>
          <w:b/>
          <w:sz w:val="24"/>
          <w:szCs w:val="24"/>
        </w:rPr>
        <w:t xml:space="preserve"> logistyczna GS1 – standard, który skraca czas operacji magazynowych? Opinie Etisoft – sprawdź, co mówią eksperci. </w:t>
      </w:r>
    </w:p>
    <w:p w:rsidR="003822E3" w:rsidRDefault="003822E3" w:rsidP="003822E3">
      <w:pPr>
        <w:keepNext/>
        <w:spacing w:before="100" w:line="360" w:lineRule="auto"/>
        <w:jc w:val="center"/>
      </w:pPr>
      <w:r>
        <w:rPr>
          <w:rFonts w:ascii="Tahoma" w:hAnsi="Tahoma" w:cs="Tahoma"/>
          <w:b/>
          <w:noProof/>
          <w:sz w:val="24"/>
          <w:szCs w:val="24"/>
          <w:lang w:bidi="ar-SA"/>
        </w:rPr>
        <w:drawing>
          <wp:inline distT="0" distB="0" distL="0" distR="0">
            <wp:extent cx="4687650" cy="2316480"/>
            <wp:effectExtent l="19050" t="0" r="0" b="0"/>
            <wp:docPr id="2" name="Obraz 1" descr="Etykieta logistyczna G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ykieta logistyczna GS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538" cy="231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3F1" w:rsidRPr="002417F8" w:rsidRDefault="003822E3" w:rsidP="003822E3">
      <w:pPr>
        <w:pStyle w:val="Legenda"/>
        <w:jc w:val="center"/>
        <w:rPr>
          <w:rFonts w:ascii="Tahoma" w:hAnsi="Tahoma" w:cs="Tahoma"/>
          <w:b/>
          <w:sz w:val="24"/>
          <w:szCs w:val="24"/>
        </w:rPr>
      </w:pPr>
      <w:r w:rsidRPr="002417F8">
        <w:rPr>
          <w:rFonts w:ascii="Tahoma" w:hAnsi="Tahoma" w:cs="Tahoma"/>
        </w:rPr>
        <w:t>Etykieta logistyczna GS1</w:t>
      </w:r>
    </w:p>
    <w:p w:rsidR="003822E3" w:rsidRPr="003822E3" w:rsidRDefault="003822E3" w:rsidP="003822E3">
      <w:pPr>
        <w:spacing w:before="100" w:line="360" w:lineRule="auto"/>
        <w:jc w:val="center"/>
        <w:rPr>
          <w:rFonts w:ascii="Tahoma" w:hAnsi="Tahoma" w:cs="Tahoma"/>
          <w:b/>
          <w:sz w:val="24"/>
          <w:szCs w:val="24"/>
        </w:rPr>
      </w:pPr>
    </w:p>
    <w:p w:rsidR="00FA73F1" w:rsidRPr="003822E3" w:rsidRDefault="009815B5" w:rsidP="00FA73F1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3822E3">
        <w:rPr>
          <w:rFonts w:ascii="Tahoma" w:hAnsi="Tahoma" w:cs="Tahoma"/>
          <w:b/>
          <w:sz w:val="24"/>
          <w:szCs w:val="24"/>
        </w:rPr>
        <w:t>Etykieta</w:t>
      </w:r>
      <w:r w:rsidR="00FA73F1" w:rsidRPr="003822E3">
        <w:rPr>
          <w:rFonts w:ascii="Tahoma" w:hAnsi="Tahoma" w:cs="Tahoma"/>
          <w:b/>
          <w:sz w:val="24"/>
          <w:szCs w:val="24"/>
        </w:rPr>
        <w:t xml:space="preserve"> logistyczna GS1 to uniwersalny nośnik informacji w łańcuch</w:t>
      </w:r>
      <w:r w:rsidR="005466DB">
        <w:rPr>
          <w:rFonts w:ascii="Tahoma" w:hAnsi="Tahoma" w:cs="Tahoma"/>
          <w:b/>
          <w:sz w:val="24"/>
          <w:szCs w:val="24"/>
        </w:rPr>
        <w:t>u</w:t>
      </w:r>
      <w:r w:rsidR="00FA73F1" w:rsidRPr="003822E3">
        <w:rPr>
          <w:rFonts w:ascii="Tahoma" w:hAnsi="Tahoma" w:cs="Tahoma"/>
          <w:b/>
          <w:sz w:val="24"/>
          <w:szCs w:val="24"/>
        </w:rPr>
        <w:t xml:space="preserve"> dostaw, w którym wszyscy uczestnicy procesu mają szansę porozumieć się „tym samym językiem”. Dostawa na czas, we właściwie miejsce, bez błędów. Do tego ekspresowe </w:t>
      </w:r>
      <w:r w:rsidR="000536E6">
        <w:rPr>
          <w:rFonts w:ascii="Tahoma" w:hAnsi="Tahoma" w:cs="Tahoma"/>
          <w:b/>
          <w:sz w:val="24"/>
          <w:szCs w:val="24"/>
        </w:rPr>
        <w:t>przyjęcie</w:t>
      </w:r>
      <w:r w:rsidR="000536E6" w:rsidRPr="003822E3">
        <w:rPr>
          <w:rFonts w:ascii="Tahoma" w:hAnsi="Tahoma" w:cs="Tahoma"/>
          <w:b/>
          <w:sz w:val="24"/>
          <w:szCs w:val="24"/>
        </w:rPr>
        <w:t xml:space="preserve"> </w:t>
      </w:r>
      <w:r w:rsidR="00FA73F1" w:rsidRPr="003822E3">
        <w:rPr>
          <w:rFonts w:ascii="Tahoma" w:hAnsi="Tahoma" w:cs="Tahoma"/>
          <w:b/>
          <w:sz w:val="24"/>
          <w:szCs w:val="24"/>
        </w:rPr>
        <w:t>oraz zarejestrowanie w systemie. To oczekiwania wielu z nas. Powodów, które uniemożliwiają osiągnięcie takiego efektu</w:t>
      </w:r>
      <w:r w:rsidR="003822E3" w:rsidRPr="003822E3">
        <w:rPr>
          <w:rFonts w:ascii="Tahoma" w:hAnsi="Tahoma" w:cs="Tahoma"/>
          <w:b/>
          <w:sz w:val="24"/>
          <w:szCs w:val="24"/>
        </w:rPr>
        <w:t>,</w:t>
      </w:r>
      <w:r w:rsidR="00FA73F1" w:rsidRPr="003822E3">
        <w:rPr>
          <w:rFonts w:ascii="Tahoma" w:hAnsi="Tahoma" w:cs="Tahoma"/>
          <w:b/>
          <w:sz w:val="24"/>
          <w:szCs w:val="24"/>
        </w:rPr>
        <w:t xml:space="preserve"> jest wiele. Czy jednak etykieta logistyczna GS1 to jedno z rozwiązań? </w:t>
      </w:r>
      <w:r w:rsidR="002417F8" w:rsidRPr="002417F8">
        <w:rPr>
          <w:rFonts w:ascii="Tahoma" w:hAnsi="Tahoma" w:cs="Tahoma"/>
          <w:b/>
          <w:sz w:val="24"/>
          <w:szCs w:val="24"/>
        </w:rPr>
        <w:t>Sprawdźcie opinie ekspertów z Etisoft.</w:t>
      </w:r>
    </w:p>
    <w:p w:rsidR="00FA73F1" w:rsidRDefault="00FA73F1" w:rsidP="00FA73F1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</w:p>
    <w:p w:rsidR="00FA73F1" w:rsidRPr="003822E3" w:rsidRDefault="009815B5" w:rsidP="00FA73F1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3822E3">
        <w:rPr>
          <w:rFonts w:ascii="Tahoma" w:hAnsi="Tahoma" w:cs="Tahoma"/>
          <w:b/>
          <w:sz w:val="24"/>
          <w:szCs w:val="24"/>
        </w:rPr>
        <w:t>Problemy z paczkami</w:t>
      </w:r>
    </w:p>
    <w:p w:rsidR="009815B5" w:rsidRPr="00FA73F1" w:rsidRDefault="009815B5" w:rsidP="00FA73F1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Osoby odpowiadające za logistykę często spotykają się z sytuacją, w której paczki opisane są ręczne. Efekt? Trudność z przeczytaniem informacji na paczce oraz mało estetyczny wygląd (większość z nas to wzrokowcy, dlatego często wygląd paczki może wpływać na wizerunek firmy, która ją przesyła). </w:t>
      </w:r>
    </w:p>
    <w:p w:rsidR="00FA73F1" w:rsidRPr="00FA73F1" w:rsidRDefault="009815B5" w:rsidP="009815B5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Sytuacja numer dwa – paczki są oznaczone poprawnie. Posiadają kod, a nawet kilka kodów. Jednak </w:t>
      </w:r>
      <w:r>
        <w:rPr>
          <w:rFonts w:ascii="Tahoma" w:hAnsi="Tahoma" w:cs="Tahoma"/>
          <w:sz w:val="24"/>
          <w:szCs w:val="24"/>
        </w:rPr>
        <w:lastRenderedPageBreak/>
        <w:t xml:space="preserve">okazuje się, że jedynie nadawca potrafi odczytać wygenerowaną informację, a </w:t>
      </w:r>
      <w:r w:rsidR="00AF1339">
        <w:rPr>
          <w:rFonts w:ascii="Tahoma" w:hAnsi="Tahoma" w:cs="Tahoma"/>
          <w:sz w:val="24"/>
          <w:szCs w:val="24"/>
        </w:rPr>
        <w:t xml:space="preserve">odbiorcy </w:t>
      </w:r>
      <w:r>
        <w:rPr>
          <w:rFonts w:ascii="Tahoma" w:hAnsi="Tahoma" w:cs="Tahoma"/>
          <w:sz w:val="24"/>
          <w:szCs w:val="24"/>
        </w:rPr>
        <w:t>z racji, że posiadają swój własny system oznaczeń</w:t>
      </w:r>
      <w:r w:rsidR="003822E3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mają już z tym problem. </w:t>
      </w:r>
    </w:p>
    <w:p w:rsidR="00FA73F1" w:rsidRPr="003822E3" w:rsidRDefault="00FA73F1" w:rsidP="00FA73F1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</w:p>
    <w:p w:rsidR="00FA73F1" w:rsidRPr="003822E3" w:rsidRDefault="00FA73F1" w:rsidP="00FA73F1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3822E3">
        <w:rPr>
          <w:rFonts w:ascii="Tahoma" w:hAnsi="Tahoma" w:cs="Tahoma"/>
          <w:b/>
          <w:sz w:val="24"/>
          <w:szCs w:val="24"/>
        </w:rPr>
        <w:t xml:space="preserve">Spójny system oznaczeń </w:t>
      </w:r>
      <w:r w:rsidR="009815B5" w:rsidRPr="003822E3">
        <w:rPr>
          <w:rFonts w:ascii="Tahoma" w:hAnsi="Tahoma" w:cs="Tahoma"/>
          <w:b/>
          <w:sz w:val="24"/>
          <w:szCs w:val="24"/>
        </w:rPr>
        <w:t xml:space="preserve">- </w:t>
      </w:r>
      <w:r w:rsidRPr="003822E3">
        <w:rPr>
          <w:rFonts w:ascii="Tahoma" w:hAnsi="Tahoma" w:cs="Tahoma"/>
          <w:b/>
          <w:sz w:val="24"/>
          <w:szCs w:val="24"/>
        </w:rPr>
        <w:t>etykieta logistyczna GS1</w:t>
      </w:r>
    </w:p>
    <w:p w:rsidR="00FA73F1" w:rsidRPr="00FA73F1" w:rsidRDefault="006D5696" w:rsidP="00FA73F1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Rozwiązanie jest jednak proste. Na rynku</w:t>
      </w:r>
      <w:r w:rsidR="00FA73F1" w:rsidRPr="00FA73F1">
        <w:rPr>
          <w:rFonts w:ascii="Tahoma" w:hAnsi="Tahoma" w:cs="Tahoma"/>
          <w:sz w:val="24"/>
          <w:szCs w:val="24"/>
        </w:rPr>
        <w:t xml:space="preserve"> od wielu lat istnieje spójny system oznaczeń, znany jako etykieta logistyczna GS1. </w:t>
      </w:r>
      <w:r w:rsidR="002417F8">
        <w:rPr>
          <w:rFonts w:ascii="Tahoma" w:hAnsi="Tahoma" w:cs="Tahoma"/>
          <w:sz w:val="24"/>
          <w:szCs w:val="24"/>
        </w:rPr>
        <w:t>Znacznym</w:t>
      </w:r>
      <w:r>
        <w:rPr>
          <w:rFonts w:ascii="Tahoma" w:hAnsi="Tahoma" w:cs="Tahoma"/>
          <w:sz w:val="24"/>
          <w:szCs w:val="24"/>
        </w:rPr>
        <w:t xml:space="preserve"> p</w:t>
      </w:r>
      <w:r w:rsidR="00FA73F1" w:rsidRPr="00FA73F1">
        <w:rPr>
          <w:rFonts w:ascii="Tahoma" w:hAnsi="Tahoma" w:cs="Tahoma"/>
          <w:sz w:val="24"/>
          <w:szCs w:val="24"/>
        </w:rPr>
        <w:t xml:space="preserve">roblemem jest </w:t>
      </w:r>
      <w:r>
        <w:rPr>
          <w:rFonts w:ascii="Tahoma" w:hAnsi="Tahoma" w:cs="Tahoma"/>
          <w:sz w:val="24"/>
          <w:szCs w:val="24"/>
        </w:rPr>
        <w:t>jedynie odsetek</w:t>
      </w:r>
      <w:r w:rsidR="00FA73F1" w:rsidRPr="00FA73F1">
        <w:rPr>
          <w:rFonts w:ascii="Tahoma" w:hAnsi="Tahoma" w:cs="Tahoma"/>
          <w:sz w:val="24"/>
          <w:szCs w:val="24"/>
        </w:rPr>
        <w:t xml:space="preserve"> firm, które wykorzystują to globalne rozwiązanie.</w:t>
      </w:r>
      <w:r>
        <w:rPr>
          <w:rFonts w:ascii="Tahoma" w:hAnsi="Tahoma" w:cs="Tahoma"/>
          <w:sz w:val="24"/>
          <w:szCs w:val="24"/>
        </w:rPr>
        <w:t xml:space="preserve"> </w:t>
      </w:r>
      <w:r w:rsidRPr="003822E3">
        <w:rPr>
          <w:rFonts w:ascii="Tahoma" w:hAnsi="Tahoma" w:cs="Tahoma"/>
          <w:b/>
          <w:sz w:val="24"/>
          <w:szCs w:val="24"/>
        </w:rPr>
        <w:t>Według danych udostępnionych przez Instytut</w:t>
      </w:r>
      <w:r w:rsidR="00FA73F1" w:rsidRPr="003822E3">
        <w:rPr>
          <w:rFonts w:ascii="Tahoma" w:hAnsi="Tahoma" w:cs="Tahoma"/>
          <w:b/>
          <w:sz w:val="24"/>
          <w:szCs w:val="24"/>
        </w:rPr>
        <w:t xml:space="preserve"> Logistyki i Magazynowania w Polsce</w:t>
      </w:r>
      <w:r w:rsidR="003822E3" w:rsidRPr="003822E3">
        <w:rPr>
          <w:rFonts w:ascii="Tahoma" w:hAnsi="Tahoma" w:cs="Tahoma"/>
          <w:b/>
          <w:sz w:val="24"/>
          <w:szCs w:val="24"/>
        </w:rPr>
        <w:t xml:space="preserve"> </w:t>
      </w:r>
      <w:r w:rsidRPr="003822E3">
        <w:rPr>
          <w:rFonts w:ascii="Tahoma" w:hAnsi="Tahoma" w:cs="Tahoma"/>
          <w:b/>
          <w:sz w:val="24"/>
          <w:szCs w:val="24"/>
        </w:rPr>
        <w:t>etykieta logistyczna GS1 w tym standardzie stosowana jest</w:t>
      </w:r>
      <w:r w:rsidR="00FA73F1" w:rsidRPr="003822E3">
        <w:rPr>
          <w:rFonts w:ascii="Tahoma" w:hAnsi="Tahoma" w:cs="Tahoma"/>
          <w:b/>
          <w:sz w:val="24"/>
          <w:szCs w:val="24"/>
        </w:rPr>
        <w:t xml:space="preserve"> jedynie </w:t>
      </w:r>
      <w:r w:rsidRPr="003822E3">
        <w:rPr>
          <w:rFonts w:ascii="Tahoma" w:hAnsi="Tahoma" w:cs="Tahoma"/>
          <w:b/>
          <w:sz w:val="24"/>
          <w:szCs w:val="24"/>
        </w:rPr>
        <w:t xml:space="preserve">przez </w:t>
      </w:r>
      <w:r w:rsidR="003822E3" w:rsidRPr="003822E3">
        <w:rPr>
          <w:rFonts w:ascii="Tahoma" w:hAnsi="Tahoma" w:cs="Tahoma"/>
          <w:b/>
          <w:sz w:val="24"/>
          <w:szCs w:val="24"/>
        </w:rPr>
        <w:t>4% uczestników systemu GS1.</w:t>
      </w:r>
      <w:r w:rsidR="003822E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Dla przykładu – w </w:t>
      </w:r>
      <w:r w:rsidR="00FA73F1" w:rsidRPr="00FA73F1">
        <w:rPr>
          <w:rFonts w:ascii="Tahoma" w:hAnsi="Tahoma" w:cs="Tahoma"/>
          <w:sz w:val="24"/>
          <w:szCs w:val="24"/>
        </w:rPr>
        <w:t>krajach skandynawskich jest to 90% wszystkich etykiet na paletach w dystrybucji i magazynowaniu.</w:t>
      </w:r>
    </w:p>
    <w:p w:rsidR="003822E3" w:rsidRDefault="003822E3" w:rsidP="003822E3">
      <w:pPr>
        <w:keepNext/>
        <w:spacing w:before="100" w:line="360" w:lineRule="auto"/>
        <w:jc w:val="center"/>
      </w:pPr>
      <w:r>
        <w:rPr>
          <w:rFonts w:ascii="Tahoma" w:hAnsi="Tahoma" w:cs="Tahoma"/>
          <w:noProof/>
          <w:sz w:val="24"/>
          <w:szCs w:val="24"/>
          <w:lang w:bidi="ar-SA"/>
        </w:rPr>
        <w:drawing>
          <wp:inline distT="0" distB="0" distL="0" distR="0">
            <wp:extent cx="2465070" cy="3311941"/>
            <wp:effectExtent l="19050" t="0" r="0" b="0"/>
            <wp:docPr id="7" name="Obraz 6" descr="Etykieta logistyczna GS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ykieta logistyczna GS1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163" cy="332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3F1" w:rsidRPr="002417F8" w:rsidRDefault="003822E3" w:rsidP="003822E3">
      <w:pPr>
        <w:pStyle w:val="Legenda"/>
        <w:jc w:val="center"/>
        <w:rPr>
          <w:rFonts w:ascii="Tahoma" w:hAnsi="Tahoma" w:cs="Tahoma"/>
          <w:sz w:val="24"/>
          <w:szCs w:val="24"/>
        </w:rPr>
      </w:pPr>
      <w:r w:rsidRPr="002417F8">
        <w:rPr>
          <w:rFonts w:ascii="Tahoma" w:hAnsi="Tahoma" w:cs="Tahoma"/>
        </w:rPr>
        <w:t>Etykieta logistyczna GS1</w:t>
      </w:r>
      <w:r w:rsidR="002417F8">
        <w:rPr>
          <w:rFonts w:ascii="Tahoma" w:hAnsi="Tahoma" w:cs="Tahoma"/>
        </w:rPr>
        <w:t xml:space="preserve"> – Opinie Etisoft</w:t>
      </w:r>
    </w:p>
    <w:p w:rsidR="00FA73F1" w:rsidRPr="003822E3" w:rsidRDefault="00FA73F1" w:rsidP="00FA73F1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3822E3">
        <w:rPr>
          <w:rFonts w:ascii="Tahoma" w:hAnsi="Tahoma" w:cs="Tahoma"/>
          <w:b/>
          <w:sz w:val="24"/>
          <w:szCs w:val="24"/>
        </w:rPr>
        <w:t>Czym jest etykieta logistyczna GS1?</w:t>
      </w:r>
      <w:r w:rsidR="006D5696" w:rsidRPr="003822E3">
        <w:rPr>
          <w:rFonts w:ascii="Tahoma" w:hAnsi="Tahoma" w:cs="Tahoma"/>
          <w:b/>
          <w:sz w:val="24"/>
          <w:szCs w:val="24"/>
        </w:rPr>
        <w:t xml:space="preserve"> </w:t>
      </w:r>
    </w:p>
    <w:p w:rsidR="00FA73F1" w:rsidRPr="00FA73F1" w:rsidRDefault="007E156B" w:rsidP="00FA73F1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Instytut</w:t>
      </w:r>
      <w:r w:rsidRPr="00FA73F1">
        <w:rPr>
          <w:rFonts w:ascii="Tahoma" w:hAnsi="Tahoma" w:cs="Tahoma"/>
          <w:sz w:val="24"/>
          <w:szCs w:val="24"/>
        </w:rPr>
        <w:t xml:space="preserve"> Logistyki i Magazynowania</w:t>
      </w:r>
      <w:r w:rsidR="00FA73F1" w:rsidRPr="00FA73F1">
        <w:rPr>
          <w:rFonts w:ascii="Tahoma" w:hAnsi="Tahoma" w:cs="Tahoma"/>
          <w:sz w:val="24"/>
          <w:szCs w:val="24"/>
        </w:rPr>
        <w:t xml:space="preserve"> definiuje ją w następujący sposób:</w:t>
      </w:r>
    </w:p>
    <w:p w:rsidR="00FA73F1" w:rsidRPr="003822E3" w:rsidRDefault="003822E3" w:rsidP="00FA73F1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3822E3">
        <w:rPr>
          <w:rFonts w:ascii="Tahoma" w:hAnsi="Tahoma" w:cs="Tahoma"/>
          <w:b/>
          <w:sz w:val="24"/>
          <w:szCs w:val="24"/>
        </w:rPr>
        <w:t xml:space="preserve">Etykieta logistyczna jest nośnikiem informacji w łańcuchu dostaw, w </w:t>
      </w:r>
      <w:r w:rsidR="00FA73F1" w:rsidRPr="003822E3">
        <w:rPr>
          <w:rFonts w:ascii="Tahoma" w:hAnsi="Tahoma" w:cs="Tahoma"/>
          <w:b/>
          <w:sz w:val="24"/>
          <w:szCs w:val="24"/>
        </w:rPr>
        <w:t>którym</w:t>
      </w:r>
      <w:r w:rsidRPr="003822E3">
        <w:rPr>
          <w:rFonts w:ascii="Tahoma" w:hAnsi="Tahoma" w:cs="Tahoma"/>
          <w:b/>
          <w:sz w:val="24"/>
          <w:szCs w:val="24"/>
        </w:rPr>
        <w:t xml:space="preserve"> </w:t>
      </w:r>
      <w:r w:rsidR="00FA73F1" w:rsidRPr="003822E3">
        <w:rPr>
          <w:rFonts w:ascii="Tahoma" w:hAnsi="Tahoma" w:cs="Tahoma"/>
          <w:b/>
          <w:sz w:val="24"/>
          <w:szCs w:val="24"/>
        </w:rPr>
        <w:t xml:space="preserve">wszyscy </w:t>
      </w:r>
      <w:r w:rsidR="00FA73F1" w:rsidRPr="003822E3">
        <w:rPr>
          <w:rFonts w:ascii="Tahoma" w:hAnsi="Tahoma" w:cs="Tahoma"/>
          <w:b/>
          <w:sz w:val="24"/>
          <w:szCs w:val="24"/>
        </w:rPr>
        <w:lastRenderedPageBreak/>
        <w:t>uczestnicy (producent, przewoźnik, dystrybutor, detalista) porozumiewają się wspólnym językiem. To porozumiewanie się jest możliwe dzięki stosowaniu standardów globalnego systemu GS1.</w:t>
      </w:r>
    </w:p>
    <w:p w:rsidR="00FA73F1" w:rsidRPr="00FA73F1" w:rsidRDefault="00FA73F1" w:rsidP="00FA73F1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FA73F1">
        <w:rPr>
          <w:rFonts w:ascii="Tahoma" w:hAnsi="Tahoma" w:cs="Tahoma"/>
          <w:sz w:val="24"/>
          <w:szCs w:val="24"/>
        </w:rPr>
        <w:t xml:space="preserve">Etykieta logistyczna GS1 zwykle zawiera wiele informacji drukowanych. Zarówno w postaci czytelnej, jak i zakodowanych przy użyciu kodów w standardzie GS1-128 (nie mylić ze zwykłym kodem 128). Jedynym obowiązkowym elementem na takiej etykiecie jest kod SSCC (Serial </w:t>
      </w:r>
      <w:proofErr w:type="spellStart"/>
      <w:r w:rsidRPr="00FA73F1">
        <w:rPr>
          <w:rFonts w:ascii="Tahoma" w:hAnsi="Tahoma" w:cs="Tahoma"/>
          <w:sz w:val="24"/>
          <w:szCs w:val="24"/>
        </w:rPr>
        <w:t>Shipping</w:t>
      </w:r>
      <w:proofErr w:type="spellEnd"/>
      <w:r w:rsidRPr="00FA73F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A73F1">
        <w:rPr>
          <w:rFonts w:ascii="Tahoma" w:hAnsi="Tahoma" w:cs="Tahoma"/>
          <w:sz w:val="24"/>
          <w:szCs w:val="24"/>
        </w:rPr>
        <w:t>Container</w:t>
      </w:r>
      <w:proofErr w:type="spellEnd"/>
      <w:r w:rsidRPr="00FA73F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A73F1">
        <w:rPr>
          <w:rFonts w:ascii="Tahoma" w:hAnsi="Tahoma" w:cs="Tahoma"/>
          <w:sz w:val="24"/>
          <w:szCs w:val="24"/>
        </w:rPr>
        <w:t>Code</w:t>
      </w:r>
      <w:proofErr w:type="spellEnd"/>
      <w:r w:rsidRPr="00FA73F1">
        <w:rPr>
          <w:rFonts w:ascii="Tahoma" w:hAnsi="Tahoma" w:cs="Tahoma"/>
          <w:sz w:val="24"/>
          <w:szCs w:val="24"/>
        </w:rPr>
        <w:t>). Jest unikalnym w skali świata numerem identyfikującym jednostki logistyczne.</w:t>
      </w:r>
    </w:p>
    <w:p w:rsidR="00FA73F1" w:rsidRPr="00FA73F1" w:rsidRDefault="00FA73F1" w:rsidP="00FA73F1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</w:p>
    <w:p w:rsidR="00FA73F1" w:rsidRPr="003822E3" w:rsidRDefault="00FA73F1" w:rsidP="00FA73F1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3822E3">
        <w:rPr>
          <w:rFonts w:ascii="Tahoma" w:hAnsi="Tahoma" w:cs="Tahoma"/>
          <w:b/>
          <w:sz w:val="24"/>
          <w:szCs w:val="24"/>
        </w:rPr>
        <w:t xml:space="preserve">Identyfikatory zastosowań w etykietach </w:t>
      </w:r>
      <w:r w:rsidR="007E156B" w:rsidRPr="003822E3">
        <w:rPr>
          <w:rFonts w:ascii="Tahoma" w:hAnsi="Tahoma" w:cs="Tahoma"/>
          <w:b/>
          <w:sz w:val="24"/>
          <w:szCs w:val="24"/>
        </w:rPr>
        <w:t>– opinie Etisoft</w:t>
      </w:r>
      <w:r w:rsidR="002417F8">
        <w:rPr>
          <w:rFonts w:ascii="Tahoma" w:hAnsi="Tahoma" w:cs="Tahoma"/>
          <w:b/>
          <w:sz w:val="24"/>
          <w:szCs w:val="24"/>
        </w:rPr>
        <w:t xml:space="preserve"> na temat rozwiązania</w:t>
      </w:r>
    </w:p>
    <w:p w:rsidR="00FA73F1" w:rsidRPr="00FA73F1" w:rsidRDefault="007E156B" w:rsidP="00FA73F1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Co istotne, etykieta logistyczna GS1 </w:t>
      </w:r>
      <w:r w:rsidR="00FA73F1" w:rsidRPr="00FA73F1">
        <w:rPr>
          <w:rFonts w:ascii="Tahoma" w:hAnsi="Tahoma" w:cs="Tahoma"/>
          <w:sz w:val="24"/>
          <w:szCs w:val="24"/>
        </w:rPr>
        <w:t>oczywiście najczęściej posiada</w:t>
      </w:r>
      <w:r>
        <w:rPr>
          <w:rFonts w:ascii="Tahoma" w:hAnsi="Tahoma" w:cs="Tahoma"/>
          <w:sz w:val="24"/>
          <w:szCs w:val="24"/>
        </w:rPr>
        <w:t xml:space="preserve"> także</w:t>
      </w:r>
      <w:r w:rsidR="00FA73F1" w:rsidRPr="00FA73F1">
        <w:rPr>
          <w:rFonts w:ascii="Tahoma" w:hAnsi="Tahoma" w:cs="Tahoma"/>
          <w:sz w:val="24"/>
          <w:szCs w:val="24"/>
        </w:rPr>
        <w:t xml:space="preserve"> dodatkowe kody informujące. </w:t>
      </w:r>
      <w:r>
        <w:rPr>
          <w:rFonts w:ascii="Tahoma" w:hAnsi="Tahoma" w:cs="Tahoma"/>
          <w:sz w:val="24"/>
          <w:szCs w:val="24"/>
        </w:rPr>
        <w:t xml:space="preserve">A czego mogą dotyczyć? Informacji o zawartości przesyłki, wadze, ilości, czy też </w:t>
      </w:r>
      <w:r w:rsidR="00301870">
        <w:rPr>
          <w:rFonts w:ascii="Tahoma" w:hAnsi="Tahoma" w:cs="Tahoma"/>
          <w:sz w:val="24"/>
          <w:szCs w:val="24"/>
        </w:rPr>
        <w:t xml:space="preserve">dacie </w:t>
      </w:r>
      <w:r>
        <w:rPr>
          <w:rFonts w:ascii="Tahoma" w:hAnsi="Tahoma" w:cs="Tahoma"/>
          <w:sz w:val="24"/>
          <w:szCs w:val="24"/>
        </w:rPr>
        <w:t xml:space="preserve">przydatności </w:t>
      </w:r>
      <w:r w:rsidR="00301870">
        <w:rPr>
          <w:rFonts w:ascii="Tahoma" w:hAnsi="Tahoma" w:cs="Tahoma"/>
          <w:sz w:val="24"/>
          <w:szCs w:val="24"/>
        </w:rPr>
        <w:t xml:space="preserve">do </w:t>
      </w:r>
      <w:r>
        <w:rPr>
          <w:rFonts w:ascii="Tahoma" w:hAnsi="Tahoma" w:cs="Tahoma"/>
          <w:sz w:val="24"/>
          <w:szCs w:val="24"/>
        </w:rPr>
        <w:t xml:space="preserve">spożycia lub dacie produkcji. Każdy z tych szczegółów opisany jest </w:t>
      </w:r>
      <w:r w:rsidR="00FA73F1" w:rsidRPr="00FA73F1">
        <w:rPr>
          <w:rFonts w:ascii="Tahoma" w:hAnsi="Tahoma" w:cs="Tahoma"/>
          <w:sz w:val="24"/>
          <w:szCs w:val="24"/>
        </w:rPr>
        <w:t xml:space="preserve">przy użyciu tzw. Identyfikatorów Zastosowań (AI – </w:t>
      </w:r>
      <w:proofErr w:type="spellStart"/>
      <w:r w:rsidR="00FA73F1" w:rsidRPr="00FA73F1">
        <w:rPr>
          <w:rFonts w:ascii="Tahoma" w:hAnsi="Tahoma" w:cs="Tahoma"/>
          <w:sz w:val="24"/>
          <w:szCs w:val="24"/>
        </w:rPr>
        <w:t>Application</w:t>
      </w:r>
      <w:proofErr w:type="spellEnd"/>
      <w:r w:rsidR="00FA73F1" w:rsidRPr="00FA73F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FA73F1" w:rsidRPr="00FA73F1">
        <w:rPr>
          <w:rFonts w:ascii="Tahoma" w:hAnsi="Tahoma" w:cs="Tahoma"/>
          <w:sz w:val="24"/>
          <w:szCs w:val="24"/>
        </w:rPr>
        <w:t>Identifiers</w:t>
      </w:r>
      <w:proofErr w:type="spellEnd"/>
      <w:r w:rsidR="00FA73F1" w:rsidRPr="00FA73F1">
        <w:rPr>
          <w:rFonts w:ascii="Tahoma" w:hAnsi="Tahoma" w:cs="Tahoma"/>
          <w:sz w:val="24"/>
          <w:szCs w:val="24"/>
        </w:rPr>
        <w:t>).</w:t>
      </w:r>
    </w:p>
    <w:p w:rsidR="007E156B" w:rsidRDefault="00FA73F1" w:rsidP="00FA73F1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FA73F1">
        <w:rPr>
          <w:rFonts w:ascii="Tahoma" w:hAnsi="Tahoma" w:cs="Tahoma"/>
          <w:sz w:val="24"/>
          <w:szCs w:val="24"/>
        </w:rPr>
        <w:t xml:space="preserve">Poprzedzające właściwe wartości prefiksy (2,3 lub 4 znakowe) określają rodzaj informacji, która po nich następuje i jej format. </w:t>
      </w:r>
    </w:p>
    <w:p w:rsidR="007E156B" w:rsidRPr="003822E3" w:rsidRDefault="007E156B" w:rsidP="00FA73F1">
      <w:pPr>
        <w:spacing w:before="100" w:line="360" w:lineRule="auto"/>
        <w:jc w:val="both"/>
        <w:rPr>
          <w:rFonts w:ascii="Tahoma" w:hAnsi="Tahoma" w:cs="Tahoma"/>
          <w:b/>
          <w:sz w:val="24"/>
          <w:szCs w:val="24"/>
        </w:rPr>
      </w:pPr>
      <w:r w:rsidRPr="003822E3">
        <w:rPr>
          <w:rFonts w:ascii="Tahoma" w:hAnsi="Tahoma" w:cs="Tahoma"/>
          <w:b/>
          <w:sz w:val="24"/>
          <w:szCs w:val="24"/>
        </w:rPr>
        <w:t>Przykład:</w:t>
      </w:r>
    </w:p>
    <w:p w:rsidR="007E156B" w:rsidRDefault="007E156B" w:rsidP="00FA73F1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Kod</w:t>
      </w:r>
      <w:r w:rsidR="00FA73F1" w:rsidRPr="00FA73F1">
        <w:rPr>
          <w:rFonts w:ascii="Tahoma" w:hAnsi="Tahoma" w:cs="Tahoma"/>
          <w:sz w:val="24"/>
          <w:szCs w:val="24"/>
        </w:rPr>
        <w:t xml:space="preserve"> z prefiksem 15 – (15)190702 </w:t>
      </w:r>
      <w:r>
        <w:rPr>
          <w:rFonts w:ascii="Tahoma" w:hAnsi="Tahoma" w:cs="Tahoma"/>
          <w:sz w:val="24"/>
          <w:szCs w:val="24"/>
        </w:rPr>
        <w:t>oznacza</w:t>
      </w:r>
      <w:r w:rsidR="00FA73F1" w:rsidRPr="00FA73F1">
        <w:rPr>
          <w:rFonts w:ascii="Tahoma" w:hAnsi="Tahoma" w:cs="Tahoma"/>
          <w:sz w:val="24"/>
          <w:szCs w:val="24"/>
        </w:rPr>
        <w:t xml:space="preserve">, że towar jest „najlepszy do” 2 lipca 2019 roku. </w:t>
      </w:r>
    </w:p>
    <w:p w:rsidR="00FA73F1" w:rsidRPr="00FA73F1" w:rsidRDefault="00FA73F1" w:rsidP="00FA73F1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 w:rsidRPr="00FA73F1">
        <w:rPr>
          <w:rFonts w:ascii="Tahoma" w:hAnsi="Tahoma" w:cs="Tahoma"/>
          <w:sz w:val="24"/>
          <w:szCs w:val="24"/>
        </w:rPr>
        <w:t>Liczba prefiksów przekracza sto i pozwala nam na opisanie przesyłki informacjami zawierającymi m.in. różne daty, miary, wielkości, informacje o dostawcach i miejscach dostawy.</w:t>
      </w:r>
      <w:r w:rsidR="007E156B">
        <w:rPr>
          <w:rFonts w:ascii="Tahoma" w:hAnsi="Tahoma" w:cs="Tahoma"/>
          <w:sz w:val="24"/>
          <w:szCs w:val="24"/>
        </w:rPr>
        <w:t xml:space="preserve"> </w:t>
      </w:r>
      <w:r w:rsidRPr="00FA73F1">
        <w:rPr>
          <w:rFonts w:ascii="Tahoma" w:hAnsi="Tahoma" w:cs="Tahoma"/>
          <w:sz w:val="24"/>
          <w:szCs w:val="24"/>
        </w:rPr>
        <w:t xml:space="preserve">Wszystkie te informacje umieszczone są zwykle na standardowej etykiecie w rozmiarze 148×210 mm lub czasem na jej mniejszej wersji 105×148 </w:t>
      </w:r>
      <w:proofErr w:type="spellStart"/>
      <w:r w:rsidRPr="00FA73F1">
        <w:rPr>
          <w:rFonts w:ascii="Tahoma" w:hAnsi="Tahoma" w:cs="Tahoma"/>
          <w:sz w:val="24"/>
          <w:szCs w:val="24"/>
        </w:rPr>
        <w:t>mm</w:t>
      </w:r>
      <w:proofErr w:type="spellEnd"/>
      <w:r w:rsidRPr="00FA73F1">
        <w:rPr>
          <w:rFonts w:ascii="Tahoma" w:hAnsi="Tahoma" w:cs="Tahoma"/>
          <w:sz w:val="24"/>
          <w:szCs w:val="24"/>
        </w:rPr>
        <w:t>.</w:t>
      </w:r>
    </w:p>
    <w:p w:rsidR="00FA73F1" w:rsidRPr="00FA73F1" w:rsidRDefault="007E156B" w:rsidP="00FA73F1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Choć</w:t>
      </w:r>
      <w:r w:rsidR="00FA73F1" w:rsidRPr="00FA73F1">
        <w:rPr>
          <w:rFonts w:ascii="Tahoma" w:hAnsi="Tahoma" w:cs="Tahoma"/>
          <w:sz w:val="24"/>
          <w:szCs w:val="24"/>
        </w:rPr>
        <w:t xml:space="preserve"> przebrnięci</w:t>
      </w:r>
      <w:r>
        <w:rPr>
          <w:rFonts w:ascii="Tahoma" w:hAnsi="Tahoma" w:cs="Tahoma"/>
          <w:sz w:val="24"/>
          <w:szCs w:val="24"/>
        </w:rPr>
        <w:t>e przez Specyfikacje Ogólne GS1, d</w:t>
      </w:r>
      <w:r w:rsidR="00FA73F1" w:rsidRPr="00FA73F1">
        <w:rPr>
          <w:rFonts w:ascii="Tahoma" w:hAnsi="Tahoma" w:cs="Tahoma"/>
          <w:sz w:val="24"/>
          <w:szCs w:val="24"/>
        </w:rPr>
        <w:t>okument opisujący na ponad 500 stronach nie tylko zasady zastosowania standardów GS1, szczegółowy opis wszystkich IZ-ów, ale również wskazówki dotyczące np. umiejscowienia etykiet na różnego typach produktów, czy też zas</w:t>
      </w:r>
      <w:r>
        <w:rPr>
          <w:rFonts w:ascii="Tahoma" w:hAnsi="Tahoma" w:cs="Tahoma"/>
          <w:sz w:val="24"/>
          <w:szCs w:val="24"/>
        </w:rPr>
        <w:t xml:space="preserve">ady walidacji w systemach AIDC </w:t>
      </w:r>
      <w:r w:rsidR="00FA73F1" w:rsidRPr="00FA73F1">
        <w:rPr>
          <w:rFonts w:ascii="Tahoma" w:hAnsi="Tahoma" w:cs="Tahoma"/>
          <w:sz w:val="24"/>
          <w:szCs w:val="24"/>
        </w:rPr>
        <w:t xml:space="preserve">wydaje się być </w:t>
      </w:r>
      <w:r>
        <w:rPr>
          <w:rFonts w:ascii="Tahoma" w:hAnsi="Tahoma" w:cs="Tahoma"/>
          <w:sz w:val="24"/>
          <w:szCs w:val="24"/>
        </w:rPr>
        <w:t>wyzwaniem</w:t>
      </w:r>
      <w:r w:rsidR="00FA73F1" w:rsidRPr="00FA73F1">
        <w:rPr>
          <w:rFonts w:ascii="Tahoma" w:hAnsi="Tahoma" w:cs="Tahoma"/>
          <w:sz w:val="24"/>
          <w:szCs w:val="24"/>
        </w:rPr>
        <w:t>, to w praktyce samo wdrożenie systemu ni</w:t>
      </w:r>
      <w:r>
        <w:rPr>
          <w:rFonts w:ascii="Tahoma" w:hAnsi="Tahoma" w:cs="Tahoma"/>
          <w:sz w:val="24"/>
          <w:szCs w:val="24"/>
        </w:rPr>
        <w:t xml:space="preserve">e jest już aż tak skomplikowane - </w:t>
      </w:r>
      <w:r w:rsidR="002417F8">
        <w:rPr>
          <w:rFonts w:ascii="Tahoma" w:hAnsi="Tahoma" w:cs="Tahoma"/>
          <w:sz w:val="24"/>
          <w:szCs w:val="24"/>
        </w:rPr>
        <w:t>podsumowuje</w:t>
      </w:r>
      <w:r w:rsidRPr="007E156B">
        <w:rPr>
          <w:rFonts w:ascii="Tahoma" w:hAnsi="Tahoma" w:cs="Tahoma"/>
          <w:sz w:val="24"/>
          <w:szCs w:val="24"/>
        </w:rPr>
        <w:t xml:space="preserve"> </w:t>
      </w:r>
      <w:r w:rsidR="00682AF6">
        <w:rPr>
          <w:rFonts w:ascii="Tahoma" w:hAnsi="Tahoma" w:cs="Tahoma"/>
          <w:sz w:val="24"/>
          <w:szCs w:val="24"/>
        </w:rPr>
        <w:t xml:space="preserve">Dariusz J. Kawecki, </w:t>
      </w:r>
      <w:proofErr w:type="spellStart"/>
      <w:r w:rsidR="00682AF6" w:rsidRPr="00682AF6">
        <w:rPr>
          <w:rFonts w:ascii="Tahoma" w:hAnsi="Tahoma" w:cs="Tahoma"/>
          <w:sz w:val="24"/>
          <w:szCs w:val="24"/>
        </w:rPr>
        <w:t>Product</w:t>
      </w:r>
      <w:proofErr w:type="spellEnd"/>
      <w:r w:rsidR="00682AF6" w:rsidRPr="00682AF6">
        <w:rPr>
          <w:rFonts w:ascii="Tahoma" w:hAnsi="Tahoma" w:cs="Tahoma"/>
          <w:sz w:val="24"/>
          <w:szCs w:val="24"/>
        </w:rPr>
        <w:t xml:space="preserve"> Manager</w:t>
      </w:r>
      <w:r w:rsidR="00682AF6">
        <w:rPr>
          <w:rFonts w:ascii="Tahoma" w:hAnsi="Tahoma" w:cs="Tahoma"/>
          <w:sz w:val="24"/>
          <w:szCs w:val="24"/>
        </w:rPr>
        <w:t xml:space="preserve"> w Etisoft. </w:t>
      </w:r>
    </w:p>
    <w:p w:rsidR="00FA73F1" w:rsidRPr="00FA73F1" w:rsidRDefault="00FA73F1" w:rsidP="00FA73F1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</w:p>
    <w:p w:rsidR="003C66D3" w:rsidRDefault="007E156B" w:rsidP="00FA73F1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 efekcie dzięki implementacji </w:t>
      </w:r>
      <w:r w:rsidR="00301870">
        <w:rPr>
          <w:rFonts w:ascii="Tahoma" w:hAnsi="Tahoma" w:cs="Tahoma"/>
          <w:sz w:val="24"/>
          <w:szCs w:val="24"/>
        </w:rPr>
        <w:t xml:space="preserve">tego rozwiązania </w:t>
      </w:r>
      <w:r>
        <w:rPr>
          <w:rFonts w:ascii="Tahoma" w:hAnsi="Tahoma" w:cs="Tahoma"/>
          <w:sz w:val="24"/>
          <w:szCs w:val="24"/>
        </w:rPr>
        <w:t>n</w:t>
      </w:r>
      <w:r w:rsidR="00FA73F1" w:rsidRPr="00FA73F1">
        <w:rPr>
          <w:rFonts w:ascii="Tahoma" w:hAnsi="Tahoma" w:cs="Tahoma"/>
          <w:sz w:val="24"/>
          <w:szCs w:val="24"/>
        </w:rPr>
        <w:t xml:space="preserve">ie tylko stajemy się częścią </w:t>
      </w:r>
      <w:r>
        <w:rPr>
          <w:rFonts w:ascii="Tahoma" w:hAnsi="Tahoma" w:cs="Tahoma"/>
          <w:sz w:val="24"/>
          <w:szCs w:val="24"/>
        </w:rPr>
        <w:t>globalnego</w:t>
      </w:r>
      <w:r w:rsidR="00FA73F1" w:rsidRPr="00FA73F1">
        <w:rPr>
          <w:rFonts w:ascii="Tahoma" w:hAnsi="Tahoma" w:cs="Tahoma"/>
          <w:sz w:val="24"/>
          <w:szCs w:val="24"/>
        </w:rPr>
        <w:t xml:space="preserve"> systemu wymiany informacji biznesowych, </w:t>
      </w:r>
      <w:r>
        <w:rPr>
          <w:rFonts w:ascii="Tahoma" w:hAnsi="Tahoma" w:cs="Tahoma"/>
          <w:sz w:val="24"/>
          <w:szCs w:val="24"/>
        </w:rPr>
        <w:t xml:space="preserve">lecz </w:t>
      </w:r>
      <w:r w:rsidR="00FA73F1" w:rsidRPr="00FA73F1">
        <w:rPr>
          <w:rFonts w:ascii="Tahoma" w:hAnsi="Tahoma" w:cs="Tahoma"/>
          <w:sz w:val="24"/>
          <w:szCs w:val="24"/>
        </w:rPr>
        <w:t xml:space="preserve">przede wszystkim, odnosimy wymierne korzyści w </w:t>
      </w:r>
      <w:r>
        <w:rPr>
          <w:rFonts w:ascii="Tahoma" w:hAnsi="Tahoma" w:cs="Tahoma"/>
          <w:sz w:val="24"/>
          <w:szCs w:val="24"/>
        </w:rPr>
        <w:t>firmie</w:t>
      </w:r>
      <w:r w:rsidR="00FA73F1" w:rsidRPr="00FA73F1">
        <w:rPr>
          <w:rFonts w:ascii="Tahoma" w:hAnsi="Tahoma" w:cs="Tahoma"/>
          <w:sz w:val="24"/>
          <w:szCs w:val="24"/>
        </w:rPr>
        <w:t xml:space="preserve">: od uporządkowania procesów magazynowych, a co za tym idzie skrócenia czasów operacji, czy zwiększenia przepustowości, aż po zwiększenie zysku </w:t>
      </w:r>
      <w:r>
        <w:rPr>
          <w:rFonts w:ascii="Tahoma" w:hAnsi="Tahoma" w:cs="Tahoma"/>
          <w:sz w:val="24"/>
          <w:szCs w:val="24"/>
        </w:rPr>
        <w:t>podmiotu. Etykieta logistyczna GS1? To się po prostu opłaca!</w:t>
      </w:r>
    </w:p>
    <w:p w:rsidR="002417F8" w:rsidRPr="001F061B" w:rsidRDefault="002417F8" w:rsidP="00FA73F1">
      <w:pPr>
        <w:spacing w:before="100" w:line="360" w:lineRule="auto"/>
        <w:jc w:val="both"/>
        <w:rPr>
          <w:rFonts w:ascii="Tahoma" w:hAnsi="Tahoma" w:cs="Tahoma"/>
          <w:sz w:val="24"/>
          <w:szCs w:val="24"/>
        </w:rPr>
      </w:pPr>
    </w:p>
    <w:sectPr w:rsidR="002417F8" w:rsidRPr="001F061B" w:rsidSect="0069739C">
      <w:headerReference w:type="default" r:id="rId10"/>
      <w:footerReference w:type="default" r:id="rId11"/>
      <w:type w:val="continuous"/>
      <w:pgSz w:w="11910" w:h="16840"/>
      <w:pgMar w:top="2127" w:right="600" w:bottom="280" w:left="600" w:header="708" w:footer="652" w:gutter="0"/>
      <w:cols w:space="5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364" w:rsidRDefault="005F1364" w:rsidP="00812127">
      <w:r>
        <w:separator/>
      </w:r>
    </w:p>
  </w:endnote>
  <w:endnote w:type="continuationSeparator" w:id="0">
    <w:p w:rsidR="005F1364" w:rsidRDefault="005F1364" w:rsidP="00812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Segoe Script"/>
    <w:charset w:val="EE"/>
    <w:family w:val="swiss"/>
    <w:pitch w:val="variable"/>
    <w:sig w:usb0="A00002FF" w:usb1="5000205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charset w:val="EE"/>
    <w:family w:val="swiss"/>
    <w:pitch w:val="variable"/>
    <w:sig w:usb0="A00000AF" w:usb1="5000604B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9D" w:rsidRPr="009041E5" w:rsidRDefault="0062159D" w:rsidP="0062159D">
    <w:pPr>
      <w:spacing w:before="100"/>
      <w:ind w:left="120"/>
      <w:rPr>
        <w:rFonts w:ascii="Lato" w:hAnsi="Lato"/>
        <w:b/>
        <w:sz w:val="18"/>
        <w:lang w:val="en-US"/>
      </w:rPr>
    </w:pPr>
    <w:r w:rsidRPr="0062159D"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6238875</wp:posOffset>
          </wp:positionH>
          <wp:positionV relativeFrom="paragraph">
            <wp:posOffset>25096</wp:posOffset>
          </wp:positionV>
          <wp:extent cx="536575" cy="40957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12D6" w:rsidRPr="006312D6">
      <w:rPr>
        <w:noProof/>
      </w:rPr>
      <w:pict>
        <v:line id="Line 1" o:spid="_x0000_s4097" style="position:absolute;left:0;text-align:left;z-index:-251657728;visibility:visible;mso-wrap-distance-left:0;mso-wrap-distance-top:-8e-5mm;mso-wrap-distance-right:0;mso-wrap-distance-bottom:-8e-5mm;mso-position-horizontal-relative:page;mso-position-vertical-relative:text" from="36pt,-.6pt" to="559.3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" strokecolor="#b61e42" strokeweight=".25011mm">
          <w10:wrap type="topAndBottom" anchorx="page"/>
        </v:line>
      </w:pict>
    </w:r>
    <w:proofErr w:type="spellStart"/>
    <w:r w:rsidR="009041E5" w:rsidRPr="009041E5">
      <w:rPr>
        <w:rFonts w:ascii="Lato" w:hAnsi="Lato"/>
        <w:b/>
        <w:color w:val="00234B"/>
        <w:sz w:val="18"/>
        <w:lang w:val="en-US"/>
      </w:rPr>
      <w:t>Commplace</w:t>
    </w:r>
    <w:proofErr w:type="spellEnd"/>
    <w:r w:rsidR="009041E5" w:rsidRPr="009041E5">
      <w:rPr>
        <w:rFonts w:ascii="Lato" w:hAnsi="Lato"/>
        <w:b/>
        <w:color w:val="00234B"/>
        <w:sz w:val="18"/>
        <w:lang w:val="en-US"/>
      </w:rPr>
      <w:t xml:space="preserve"> </w:t>
    </w:r>
    <w:r w:rsidRPr="009041E5">
      <w:rPr>
        <w:rFonts w:ascii="Lato" w:hAnsi="Lato"/>
        <w:b/>
        <w:color w:val="00234B"/>
        <w:sz w:val="18"/>
        <w:lang w:val="en-US"/>
      </w:rPr>
      <w:t xml:space="preserve">Sp. z </w:t>
    </w:r>
    <w:proofErr w:type="spellStart"/>
    <w:r w:rsidRPr="009041E5">
      <w:rPr>
        <w:rFonts w:ascii="Lato" w:hAnsi="Lato"/>
        <w:b/>
        <w:color w:val="00234B"/>
        <w:sz w:val="18"/>
        <w:lang w:val="en-US"/>
      </w:rPr>
      <w:t>o.o</w:t>
    </w:r>
    <w:proofErr w:type="spellEnd"/>
    <w:r w:rsidRPr="009041E5">
      <w:rPr>
        <w:rFonts w:ascii="Lato" w:hAnsi="Lato"/>
        <w:b/>
        <w:color w:val="00234B"/>
        <w:sz w:val="18"/>
        <w:lang w:val="en-US"/>
      </w:rPr>
      <w:t xml:space="preserve">. </w:t>
    </w:r>
    <w:proofErr w:type="spellStart"/>
    <w:r w:rsidR="0073666C" w:rsidRPr="009041E5">
      <w:rPr>
        <w:rFonts w:ascii="Lato" w:hAnsi="Lato"/>
        <w:b/>
        <w:color w:val="00234B"/>
        <w:sz w:val="18"/>
        <w:lang w:val="en-US"/>
      </w:rPr>
      <w:t>Sp.K</w:t>
    </w:r>
    <w:proofErr w:type="spellEnd"/>
    <w:r w:rsidR="0073666C" w:rsidRPr="009041E5">
      <w:rPr>
        <w:rFonts w:ascii="Lato" w:hAnsi="Lato"/>
        <w:b/>
        <w:color w:val="00234B"/>
        <w:sz w:val="18"/>
        <w:lang w:val="en-US"/>
      </w:rPr>
      <w:t>.</w:t>
    </w:r>
  </w:p>
  <w:p w:rsidR="0062159D" w:rsidRPr="00D43345" w:rsidRDefault="0062159D" w:rsidP="0062159D">
    <w:pPr>
      <w:pStyle w:val="Tekstpodstawowy"/>
      <w:spacing w:before="80"/>
      <w:ind w:left="120"/>
      <w:rPr>
        <w:rFonts w:ascii="Lato" w:hAnsi="Lato"/>
      </w:rPr>
    </w:pPr>
    <w:r w:rsidRPr="00D43345">
      <w:rPr>
        <w:rFonts w:ascii="Lato" w:hAnsi="Lato"/>
        <w:color w:val="00234B"/>
      </w:rPr>
      <w:t>ul. Liczyrzepy</w:t>
    </w:r>
    <w:r w:rsidRPr="00D43345">
      <w:rPr>
        <w:rFonts w:ascii="Lato" w:hAnsi="Lato"/>
        <w:color w:val="00234B"/>
        <w:spacing w:val="-9"/>
      </w:rPr>
      <w:t xml:space="preserve"> </w:t>
    </w:r>
    <w:r w:rsidRPr="00D43345">
      <w:rPr>
        <w:rFonts w:ascii="Lato" w:hAnsi="Lato"/>
        <w:color w:val="00234B"/>
      </w:rPr>
      <w:t>20</w:t>
    </w:r>
    <w:r>
      <w:rPr>
        <w:rFonts w:ascii="Lato" w:hAnsi="Lato"/>
        <w:color w:val="00234B"/>
      </w:rPr>
      <w:t xml:space="preserve">                                                          </w:t>
    </w:r>
    <w:r w:rsidR="0073666C">
      <w:rPr>
        <w:rFonts w:ascii="Lato" w:hAnsi="Lato"/>
        <w:color w:val="00234B"/>
      </w:rPr>
      <w:t xml:space="preserve">                   </w:t>
    </w:r>
  </w:p>
  <w:p w:rsidR="008D7D17" w:rsidRDefault="0062159D" w:rsidP="0062159D">
    <w:pPr>
      <w:pStyle w:val="Tekstpodstawowy"/>
      <w:spacing w:before="56"/>
      <w:ind w:left="120"/>
      <w:rPr>
        <w:rFonts w:ascii="Lato" w:hAnsi="Lato"/>
        <w:color w:val="00234B"/>
      </w:rPr>
    </w:pPr>
    <w:r w:rsidRPr="00D43345">
      <w:rPr>
        <w:rFonts w:ascii="Lato" w:hAnsi="Lato"/>
        <w:color w:val="00234B"/>
      </w:rPr>
      <w:t>58-564 Sosnówka k. Karpacza</w:t>
    </w:r>
  </w:p>
  <w:p w:rsidR="00AE4EE9" w:rsidRDefault="008D7D17" w:rsidP="00AE4EE9">
    <w:pPr>
      <w:pStyle w:val="Tekstpodstawowy"/>
      <w:spacing w:before="80"/>
      <w:ind w:left="120"/>
      <w:rPr>
        <w:rFonts w:ascii="Lato" w:hAnsi="Lato"/>
      </w:rPr>
    </w:pPr>
    <w:r>
      <w:rPr>
        <w:rFonts w:ascii="Lato" w:hAnsi="Lato"/>
        <w:color w:val="00234B"/>
      </w:rPr>
      <w:t>NIP: 611-280-33-80</w:t>
    </w:r>
    <w:r w:rsidR="0062159D">
      <w:rPr>
        <w:rFonts w:ascii="Lato" w:hAnsi="Lato"/>
      </w:rPr>
      <w:t xml:space="preserve">  </w:t>
    </w:r>
  </w:p>
  <w:p w:rsidR="0062159D" w:rsidRPr="00AE4EE9" w:rsidRDefault="00AE4EE9" w:rsidP="00AE4EE9">
    <w:pPr>
      <w:pStyle w:val="Tekstpodstawowy"/>
      <w:spacing w:before="80"/>
      <w:ind w:left="120"/>
      <w:rPr>
        <w:rFonts w:ascii="Lato" w:hAnsi="Lato"/>
        <w:b/>
      </w:rPr>
    </w:pPr>
    <w:r>
      <w:rPr>
        <w:rFonts w:ascii="Lato" w:hAnsi="Lato"/>
        <w:b/>
      </w:rPr>
      <w:t>c</w:t>
    </w:r>
    <w:r w:rsidRPr="00AE4EE9">
      <w:rPr>
        <w:rFonts w:ascii="Lato" w:hAnsi="Lato"/>
        <w:b/>
      </w:rPr>
      <w:t>ommplace.pl</w:t>
    </w:r>
  </w:p>
  <w:p w:rsidR="0062159D" w:rsidRDefault="006215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364" w:rsidRDefault="005F1364" w:rsidP="00812127">
      <w:r>
        <w:separator/>
      </w:r>
    </w:p>
  </w:footnote>
  <w:footnote w:type="continuationSeparator" w:id="0">
    <w:p w:rsidR="005F1364" w:rsidRDefault="005F1364" w:rsidP="00812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127" w:rsidRDefault="009630C9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720DB"/>
    <w:multiLevelType w:val="multilevel"/>
    <w:tmpl w:val="63EE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B427EA"/>
    <w:multiLevelType w:val="hybridMultilevel"/>
    <w:tmpl w:val="0B0E9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886F65"/>
    <w:multiLevelType w:val="multilevel"/>
    <w:tmpl w:val="8AAC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004A3B"/>
    <w:multiLevelType w:val="hybridMultilevel"/>
    <w:tmpl w:val="6B82E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80CB5"/>
    <w:multiLevelType w:val="multilevel"/>
    <w:tmpl w:val="7C94B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D3171D"/>
    <w:multiLevelType w:val="multilevel"/>
    <w:tmpl w:val="F2B6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E73F11"/>
    <w:multiLevelType w:val="multilevel"/>
    <w:tmpl w:val="82AA4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Dariusz Kawecki">
    <w15:presenceInfo w15:providerId="AD" w15:userId="S::dkawecki@etisoft.com.pl::37f6bb7f-db7e-4b0c-8b66-a0f23ff307e1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0AB5"/>
    <w:rsid w:val="00002B6B"/>
    <w:rsid w:val="00006235"/>
    <w:rsid w:val="00030C25"/>
    <w:rsid w:val="0003190B"/>
    <w:rsid w:val="000510B3"/>
    <w:rsid w:val="000536E6"/>
    <w:rsid w:val="00080302"/>
    <w:rsid w:val="00097258"/>
    <w:rsid w:val="000B02A0"/>
    <w:rsid w:val="000D1763"/>
    <w:rsid w:val="000E5644"/>
    <w:rsid w:val="000E64F6"/>
    <w:rsid w:val="00102529"/>
    <w:rsid w:val="001070FD"/>
    <w:rsid w:val="00121BFC"/>
    <w:rsid w:val="00127CA9"/>
    <w:rsid w:val="00135EDA"/>
    <w:rsid w:val="00142AFF"/>
    <w:rsid w:val="00167817"/>
    <w:rsid w:val="00172AC1"/>
    <w:rsid w:val="00180068"/>
    <w:rsid w:val="001861CD"/>
    <w:rsid w:val="0019045F"/>
    <w:rsid w:val="00193456"/>
    <w:rsid w:val="001A58A2"/>
    <w:rsid w:val="001C0856"/>
    <w:rsid w:val="001D5EF2"/>
    <w:rsid w:val="001E4B6E"/>
    <w:rsid w:val="001F061B"/>
    <w:rsid w:val="001F5C91"/>
    <w:rsid w:val="0020273B"/>
    <w:rsid w:val="002152B1"/>
    <w:rsid w:val="002306E2"/>
    <w:rsid w:val="00231C0E"/>
    <w:rsid w:val="00232888"/>
    <w:rsid w:val="00232B06"/>
    <w:rsid w:val="00236EA3"/>
    <w:rsid w:val="0023730F"/>
    <w:rsid w:val="002417F8"/>
    <w:rsid w:val="00241984"/>
    <w:rsid w:val="00250AA9"/>
    <w:rsid w:val="00275924"/>
    <w:rsid w:val="00284CD6"/>
    <w:rsid w:val="00291191"/>
    <w:rsid w:val="00291DE2"/>
    <w:rsid w:val="002D25C8"/>
    <w:rsid w:val="002E1151"/>
    <w:rsid w:val="002E169F"/>
    <w:rsid w:val="002E3869"/>
    <w:rsid w:val="00301870"/>
    <w:rsid w:val="003044DC"/>
    <w:rsid w:val="00321934"/>
    <w:rsid w:val="00356324"/>
    <w:rsid w:val="00360555"/>
    <w:rsid w:val="003727D9"/>
    <w:rsid w:val="00374CE5"/>
    <w:rsid w:val="003822E3"/>
    <w:rsid w:val="0039003B"/>
    <w:rsid w:val="00391232"/>
    <w:rsid w:val="003A0EE0"/>
    <w:rsid w:val="003A645A"/>
    <w:rsid w:val="003B528F"/>
    <w:rsid w:val="003C28AF"/>
    <w:rsid w:val="003C66D3"/>
    <w:rsid w:val="003D5B18"/>
    <w:rsid w:val="003D6916"/>
    <w:rsid w:val="003F04A7"/>
    <w:rsid w:val="003F088D"/>
    <w:rsid w:val="003F5516"/>
    <w:rsid w:val="004006E7"/>
    <w:rsid w:val="00401723"/>
    <w:rsid w:val="00406C7C"/>
    <w:rsid w:val="00413644"/>
    <w:rsid w:val="00415A2C"/>
    <w:rsid w:val="004203D8"/>
    <w:rsid w:val="00420D37"/>
    <w:rsid w:val="0042218E"/>
    <w:rsid w:val="00431142"/>
    <w:rsid w:val="004336ED"/>
    <w:rsid w:val="0043652E"/>
    <w:rsid w:val="00461316"/>
    <w:rsid w:val="00463475"/>
    <w:rsid w:val="004635E9"/>
    <w:rsid w:val="00463781"/>
    <w:rsid w:val="00467CBF"/>
    <w:rsid w:val="00476860"/>
    <w:rsid w:val="004835C8"/>
    <w:rsid w:val="00484E8D"/>
    <w:rsid w:val="004866EC"/>
    <w:rsid w:val="004962FD"/>
    <w:rsid w:val="004A6DB4"/>
    <w:rsid w:val="004B3425"/>
    <w:rsid w:val="004B7AB2"/>
    <w:rsid w:val="004C0A9A"/>
    <w:rsid w:val="004C582C"/>
    <w:rsid w:val="004E3A41"/>
    <w:rsid w:val="00534B3B"/>
    <w:rsid w:val="00542312"/>
    <w:rsid w:val="005466DB"/>
    <w:rsid w:val="00546EBB"/>
    <w:rsid w:val="0056042B"/>
    <w:rsid w:val="00564B1A"/>
    <w:rsid w:val="00566362"/>
    <w:rsid w:val="005672F9"/>
    <w:rsid w:val="00580DFD"/>
    <w:rsid w:val="00583CED"/>
    <w:rsid w:val="005A26E0"/>
    <w:rsid w:val="005A3787"/>
    <w:rsid w:val="005A3D8F"/>
    <w:rsid w:val="005A6CB9"/>
    <w:rsid w:val="005C2DA3"/>
    <w:rsid w:val="005D584B"/>
    <w:rsid w:val="005D60D8"/>
    <w:rsid w:val="005E2E7D"/>
    <w:rsid w:val="005F1364"/>
    <w:rsid w:val="005F209F"/>
    <w:rsid w:val="00603D79"/>
    <w:rsid w:val="00607045"/>
    <w:rsid w:val="0062159D"/>
    <w:rsid w:val="006312D6"/>
    <w:rsid w:val="00640FF8"/>
    <w:rsid w:val="00650DFC"/>
    <w:rsid w:val="00653483"/>
    <w:rsid w:val="00654AE4"/>
    <w:rsid w:val="006745EB"/>
    <w:rsid w:val="00680047"/>
    <w:rsid w:val="0068008B"/>
    <w:rsid w:val="0068243D"/>
    <w:rsid w:val="00682AF6"/>
    <w:rsid w:val="006876DB"/>
    <w:rsid w:val="00695E9C"/>
    <w:rsid w:val="00696E39"/>
    <w:rsid w:val="0069739C"/>
    <w:rsid w:val="006A491C"/>
    <w:rsid w:val="006B7102"/>
    <w:rsid w:val="006C77E8"/>
    <w:rsid w:val="006D5696"/>
    <w:rsid w:val="006E488F"/>
    <w:rsid w:val="006F7A88"/>
    <w:rsid w:val="00731789"/>
    <w:rsid w:val="00733B04"/>
    <w:rsid w:val="0073666C"/>
    <w:rsid w:val="00736BC5"/>
    <w:rsid w:val="00740D51"/>
    <w:rsid w:val="00777A21"/>
    <w:rsid w:val="00783C31"/>
    <w:rsid w:val="00784E9F"/>
    <w:rsid w:val="00791DCF"/>
    <w:rsid w:val="00793C4C"/>
    <w:rsid w:val="0079714E"/>
    <w:rsid w:val="007A545B"/>
    <w:rsid w:val="007A7CA8"/>
    <w:rsid w:val="007B3EE8"/>
    <w:rsid w:val="007C2924"/>
    <w:rsid w:val="007E156B"/>
    <w:rsid w:val="007F11F6"/>
    <w:rsid w:val="007F194D"/>
    <w:rsid w:val="00812127"/>
    <w:rsid w:val="00812847"/>
    <w:rsid w:val="0081317D"/>
    <w:rsid w:val="008205C7"/>
    <w:rsid w:val="00844046"/>
    <w:rsid w:val="008601DB"/>
    <w:rsid w:val="00864946"/>
    <w:rsid w:val="00867033"/>
    <w:rsid w:val="0087127D"/>
    <w:rsid w:val="00876C34"/>
    <w:rsid w:val="008911EE"/>
    <w:rsid w:val="008944EC"/>
    <w:rsid w:val="008A4786"/>
    <w:rsid w:val="008A5398"/>
    <w:rsid w:val="008A57DE"/>
    <w:rsid w:val="008D0F9C"/>
    <w:rsid w:val="008D7D17"/>
    <w:rsid w:val="008F1763"/>
    <w:rsid w:val="008F4CE3"/>
    <w:rsid w:val="008F73D5"/>
    <w:rsid w:val="008F7480"/>
    <w:rsid w:val="0090326B"/>
    <w:rsid w:val="009041E5"/>
    <w:rsid w:val="0091608C"/>
    <w:rsid w:val="00922136"/>
    <w:rsid w:val="00926C7D"/>
    <w:rsid w:val="0095256F"/>
    <w:rsid w:val="009630C9"/>
    <w:rsid w:val="00977B70"/>
    <w:rsid w:val="009815B5"/>
    <w:rsid w:val="0098512E"/>
    <w:rsid w:val="0099057E"/>
    <w:rsid w:val="0099473B"/>
    <w:rsid w:val="009B31F1"/>
    <w:rsid w:val="009B4023"/>
    <w:rsid w:val="009B4793"/>
    <w:rsid w:val="009B59FC"/>
    <w:rsid w:val="009C3518"/>
    <w:rsid w:val="009D0AB5"/>
    <w:rsid w:val="009D2A20"/>
    <w:rsid w:val="009F2E29"/>
    <w:rsid w:val="009F5274"/>
    <w:rsid w:val="00A0575B"/>
    <w:rsid w:val="00A07DD0"/>
    <w:rsid w:val="00A103D8"/>
    <w:rsid w:val="00A1453E"/>
    <w:rsid w:val="00A21199"/>
    <w:rsid w:val="00A2265A"/>
    <w:rsid w:val="00A371EF"/>
    <w:rsid w:val="00A71C3F"/>
    <w:rsid w:val="00A7711A"/>
    <w:rsid w:val="00A85FBC"/>
    <w:rsid w:val="00A937ED"/>
    <w:rsid w:val="00AC3E14"/>
    <w:rsid w:val="00AD51B0"/>
    <w:rsid w:val="00AE0813"/>
    <w:rsid w:val="00AE4EE9"/>
    <w:rsid w:val="00AE58AE"/>
    <w:rsid w:val="00AF1339"/>
    <w:rsid w:val="00B264ED"/>
    <w:rsid w:val="00B354F0"/>
    <w:rsid w:val="00B4274A"/>
    <w:rsid w:val="00B4590C"/>
    <w:rsid w:val="00B64339"/>
    <w:rsid w:val="00B66C26"/>
    <w:rsid w:val="00B77048"/>
    <w:rsid w:val="00B77906"/>
    <w:rsid w:val="00B77DDB"/>
    <w:rsid w:val="00B82B1C"/>
    <w:rsid w:val="00B960FB"/>
    <w:rsid w:val="00BA0179"/>
    <w:rsid w:val="00BA34DD"/>
    <w:rsid w:val="00BA3884"/>
    <w:rsid w:val="00BB1BBF"/>
    <w:rsid w:val="00BB2BEF"/>
    <w:rsid w:val="00BD04DB"/>
    <w:rsid w:val="00BD5F42"/>
    <w:rsid w:val="00C004BD"/>
    <w:rsid w:val="00C03A0C"/>
    <w:rsid w:val="00C21451"/>
    <w:rsid w:val="00C45E1B"/>
    <w:rsid w:val="00C56559"/>
    <w:rsid w:val="00CC7AE2"/>
    <w:rsid w:val="00CE76C9"/>
    <w:rsid w:val="00CF4BA1"/>
    <w:rsid w:val="00D06F80"/>
    <w:rsid w:val="00D13486"/>
    <w:rsid w:val="00D21CA8"/>
    <w:rsid w:val="00D32A4F"/>
    <w:rsid w:val="00D43345"/>
    <w:rsid w:val="00D44DBB"/>
    <w:rsid w:val="00D74D01"/>
    <w:rsid w:val="00D75242"/>
    <w:rsid w:val="00D81CEF"/>
    <w:rsid w:val="00D87157"/>
    <w:rsid w:val="00D95434"/>
    <w:rsid w:val="00DA0C93"/>
    <w:rsid w:val="00DA278E"/>
    <w:rsid w:val="00DC09B0"/>
    <w:rsid w:val="00DD0D73"/>
    <w:rsid w:val="00DD444F"/>
    <w:rsid w:val="00DD4D0D"/>
    <w:rsid w:val="00DF15D7"/>
    <w:rsid w:val="00DF4338"/>
    <w:rsid w:val="00E0355A"/>
    <w:rsid w:val="00E11A73"/>
    <w:rsid w:val="00E12D2E"/>
    <w:rsid w:val="00E20120"/>
    <w:rsid w:val="00E21F0A"/>
    <w:rsid w:val="00E2464A"/>
    <w:rsid w:val="00E44282"/>
    <w:rsid w:val="00E50BE0"/>
    <w:rsid w:val="00E62D25"/>
    <w:rsid w:val="00E633B1"/>
    <w:rsid w:val="00E65BCB"/>
    <w:rsid w:val="00E72C10"/>
    <w:rsid w:val="00E90E05"/>
    <w:rsid w:val="00E974D4"/>
    <w:rsid w:val="00EA3D74"/>
    <w:rsid w:val="00EA5005"/>
    <w:rsid w:val="00EA6AFA"/>
    <w:rsid w:val="00EC008E"/>
    <w:rsid w:val="00EC1E3D"/>
    <w:rsid w:val="00ED1313"/>
    <w:rsid w:val="00ED5613"/>
    <w:rsid w:val="00ED772A"/>
    <w:rsid w:val="00EE5E59"/>
    <w:rsid w:val="00EE62B6"/>
    <w:rsid w:val="00F052FB"/>
    <w:rsid w:val="00F11D51"/>
    <w:rsid w:val="00F2580B"/>
    <w:rsid w:val="00F27F9E"/>
    <w:rsid w:val="00F44AB9"/>
    <w:rsid w:val="00F51746"/>
    <w:rsid w:val="00F72F47"/>
    <w:rsid w:val="00F736F0"/>
    <w:rsid w:val="00F75FD7"/>
    <w:rsid w:val="00F77130"/>
    <w:rsid w:val="00F77142"/>
    <w:rsid w:val="00F81B96"/>
    <w:rsid w:val="00F93F23"/>
    <w:rsid w:val="00F945B4"/>
    <w:rsid w:val="00FA73F1"/>
    <w:rsid w:val="00FB78AC"/>
    <w:rsid w:val="00FC0895"/>
    <w:rsid w:val="00FF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64B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64B1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A103D8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  <w:style w:type="character" w:customStyle="1" w:styleId="Nagwek3Znak">
    <w:name w:val="Nagłówek 3 Znak"/>
    <w:basedOn w:val="Domylnaczcionkaakapitu"/>
    <w:link w:val="Nagwek3"/>
    <w:uiPriority w:val="9"/>
    <w:rsid w:val="00A103D8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64B1A"/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  <w:lang w:val="pl-PL" w:eastAsia="pl-PL" w:bidi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64B1A"/>
    <w:rPr>
      <w:rFonts w:asciiTheme="majorHAnsi" w:eastAsiaTheme="majorEastAsia" w:hAnsiTheme="majorHAnsi" w:cstheme="majorBidi"/>
      <w:b/>
      <w:bCs/>
      <w:color w:val="1CADE4" w:themeColor="accent1"/>
      <w:sz w:val="26"/>
      <w:szCs w:val="26"/>
      <w:lang w:val="pl-PL" w:eastAsia="pl-PL" w:bidi="pl-PL"/>
    </w:rPr>
  </w:style>
  <w:style w:type="character" w:styleId="Pogrubienie">
    <w:name w:val="Strong"/>
    <w:basedOn w:val="Domylnaczcionkaakapitu"/>
    <w:uiPriority w:val="22"/>
    <w:qFormat/>
    <w:rsid w:val="00564B1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0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24" w:color="FFFFFF"/>
              </w:divBdr>
            </w:div>
          </w:divsChild>
        </w:div>
      </w:divsChild>
    </w:div>
    <w:div w:id="1379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48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08F58-3AA7-4BEB-9E74-CCCD83F45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628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ercris</dc:creator>
  <cp:lastModifiedBy>Jakub Goławski</cp:lastModifiedBy>
  <cp:revision>2</cp:revision>
  <dcterms:created xsi:type="dcterms:W3CDTF">2020-07-20T13:06:00Z</dcterms:created>
  <dcterms:modified xsi:type="dcterms:W3CDTF">2020-07-20T13:06:00Z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2018-10-12T00:00:00Z</vt:filetime>
  </property>
</Properties>
</file>